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2F79B" w14:textId="77777777" w:rsidR="00AE3436" w:rsidRDefault="00AE3436"/>
    <w:p w14:paraId="30522EB4" w14:textId="77777777" w:rsidR="00860A48" w:rsidRDefault="00860A48"/>
    <w:p w14:paraId="4E3F066B" w14:textId="0ECB52A3" w:rsidR="00860A48" w:rsidRPr="00860A48" w:rsidRDefault="00860A48" w:rsidP="00860A48">
      <w:pPr>
        <w:jc w:val="center"/>
        <w:rPr>
          <w:b/>
          <w:bCs/>
          <w:sz w:val="28"/>
          <w:szCs w:val="28"/>
        </w:rPr>
      </w:pPr>
      <w:r w:rsidRPr="00860A48">
        <w:rPr>
          <w:b/>
          <w:bCs/>
          <w:sz w:val="28"/>
          <w:szCs w:val="28"/>
        </w:rPr>
        <w:t xml:space="preserve">CONSEJO DE MINISTROS 2 </w:t>
      </w:r>
      <w:r>
        <w:rPr>
          <w:b/>
          <w:bCs/>
          <w:sz w:val="28"/>
          <w:szCs w:val="28"/>
        </w:rPr>
        <w:t xml:space="preserve">ABRIL </w:t>
      </w:r>
      <w:r w:rsidRPr="00860A48">
        <w:rPr>
          <w:b/>
          <w:bCs/>
          <w:sz w:val="28"/>
          <w:szCs w:val="28"/>
        </w:rPr>
        <w:t>2024</w:t>
      </w:r>
    </w:p>
    <w:p w14:paraId="06B9351C" w14:textId="77777777" w:rsidR="00860A48" w:rsidRDefault="00860A48"/>
    <w:p w14:paraId="0367A23C" w14:textId="77777777" w:rsidR="00860A48" w:rsidRDefault="00860A48"/>
    <w:p w14:paraId="65FBBA3A" w14:textId="77777777" w:rsidR="00860A48" w:rsidRPr="00860A48" w:rsidRDefault="00860A48" w:rsidP="00860A48">
      <w:pPr>
        <w:shd w:val="clear" w:color="auto" w:fill="FFFFFF"/>
        <w:spacing w:before="480" w:after="240" w:line="360" w:lineRule="atLeast"/>
        <w:outlineLvl w:val="3"/>
        <w:rPr>
          <w:rFonts w:ascii="Arial" w:eastAsia="Times New Roman" w:hAnsi="Arial" w:cs="Arial"/>
          <w:color w:val="1D1D1B"/>
          <w:kern w:val="0"/>
          <w:sz w:val="30"/>
          <w:szCs w:val="30"/>
          <w:lang w:eastAsia="es-ES"/>
          <w14:ligatures w14:val="none"/>
        </w:rPr>
      </w:pPr>
      <w:r w:rsidRPr="00860A48">
        <w:rPr>
          <w:rFonts w:ascii="Arial" w:eastAsia="Times New Roman" w:hAnsi="Arial" w:cs="Arial"/>
          <w:color w:val="1D1D1B"/>
          <w:kern w:val="0"/>
          <w:sz w:val="30"/>
          <w:szCs w:val="30"/>
          <w:lang w:eastAsia="es-ES"/>
          <w14:ligatures w14:val="none"/>
        </w:rPr>
        <w:t>Hacienda</w:t>
      </w:r>
    </w:p>
    <w:bookmarkStart w:id="0" w:name="rural"/>
    <w:p w14:paraId="05242335" w14:textId="77777777" w:rsidR="00860A48" w:rsidRPr="00860A48" w:rsidRDefault="00860A48" w:rsidP="00860A48">
      <w:pPr>
        <w:shd w:val="clear" w:color="auto" w:fill="FFFFFF"/>
        <w:spacing w:after="240" w:line="360" w:lineRule="atLeast"/>
        <w:outlineLvl w:val="4"/>
        <w:rPr>
          <w:rFonts w:ascii="Arial" w:eastAsia="Times New Roman" w:hAnsi="Arial" w:cs="Arial"/>
          <w:color w:val="1D1D1B"/>
          <w:kern w:val="0"/>
          <w:sz w:val="27"/>
          <w:szCs w:val="27"/>
          <w:lang w:eastAsia="es-ES"/>
          <w14:ligatures w14:val="none"/>
        </w:rPr>
      </w:pPr>
      <w:r w:rsidRPr="00860A48">
        <w:rPr>
          <w:rFonts w:ascii="Arial" w:eastAsia="Times New Roman" w:hAnsi="Arial" w:cs="Arial"/>
          <w:color w:val="1D1D1B"/>
          <w:kern w:val="0"/>
          <w:sz w:val="27"/>
          <w:szCs w:val="27"/>
          <w:lang w:eastAsia="es-ES"/>
          <w14:ligatures w14:val="none"/>
        </w:rPr>
        <w:fldChar w:fldCharType="begin"/>
      </w:r>
      <w:r w:rsidRPr="00860A48">
        <w:rPr>
          <w:rFonts w:ascii="Arial" w:eastAsia="Times New Roman" w:hAnsi="Arial" w:cs="Arial"/>
          <w:color w:val="1D1D1B"/>
          <w:kern w:val="0"/>
          <w:sz w:val="27"/>
          <w:szCs w:val="27"/>
          <w:lang w:eastAsia="es-ES"/>
          <w14:ligatures w14:val="none"/>
        </w:rPr>
        <w:instrText>HYPERLINK "https://www.lamoncloa.gob.es/consejodeministros/referencias/Paginas/2024/refc20240402.aspx"</w:instrText>
      </w:r>
      <w:r w:rsidRPr="00860A48">
        <w:rPr>
          <w:rFonts w:ascii="Arial" w:eastAsia="Times New Roman" w:hAnsi="Arial" w:cs="Arial"/>
          <w:color w:val="1D1D1B"/>
          <w:kern w:val="0"/>
          <w:sz w:val="27"/>
          <w:szCs w:val="27"/>
          <w:lang w:eastAsia="es-ES"/>
          <w14:ligatures w14:val="none"/>
        </w:rPr>
      </w:r>
      <w:r w:rsidRPr="00860A48">
        <w:rPr>
          <w:rFonts w:ascii="Arial" w:eastAsia="Times New Roman" w:hAnsi="Arial" w:cs="Arial"/>
          <w:color w:val="1D1D1B"/>
          <w:kern w:val="0"/>
          <w:sz w:val="27"/>
          <w:szCs w:val="27"/>
          <w:lang w:eastAsia="es-ES"/>
          <w14:ligatures w14:val="none"/>
        </w:rPr>
        <w:fldChar w:fldCharType="separate"/>
      </w:r>
      <w:r w:rsidRPr="00860A48">
        <w:rPr>
          <w:rFonts w:ascii="inherit" w:eastAsia="Times New Roman" w:hAnsi="inherit" w:cs="Arial"/>
          <w:color w:val="0000FF"/>
          <w:kern w:val="0"/>
          <w:sz w:val="27"/>
          <w:szCs w:val="27"/>
          <w:u w:val="single"/>
          <w:lang w:eastAsia="es-ES"/>
          <w14:ligatures w14:val="none"/>
        </w:rPr>
        <w:t>INVERSIONES EN TRANSFORMACIÓN, COMERCIALIZACIÓN Y DESARROLLO DE PRODUCTOS AGRARIOS</w:t>
      </w:r>
      <w:r w:rsidRPr="00860A48">
        <w:rPr>
          <w:rFonts w:ascii="Arial" w:eastAsia="Times New Roman" w:hAnsi="Arial" w:cs="Arial"/>
          <w:color w:val="1D1D1B"/>
          <w:kern w:val="0"/>
          <w:sz w:val="27"/>
          <w:szCs w:val="27"/>
          <w:lang w:eastAsia="es-ES"/>
          <w14:ligatures w14:val="none"/>
        </w:rPr>
        <w:fldChar w:fldCharType="end"/>
      </w:r>
      <w:bookmarkEnd w:id="0"/>
    </w:p>
    <w:p w14:paraId="56675D74" w14:textId="77777777" w:rsidR="00860A48" w:rsidRPr="00860A48" w:rsidRDefault="00860A48" w:rsidP="00860A48">
      <w:pPr>
        <w:shd w:val="clear" w:color="auto" w:fill="FFFFFF"/>
        <w:spacing w:after="0" w:line="240" w:lineRule="auto"/>
        <w:rPr>
          <w:rFonts w:ascii="Arial" w:eastAsia="Times New Roman" w:hAnsi="Arial" w:cs="Arial"/>
          <w:color w:val="1D1D1B"/>
          <w:kern w:val="0"/>
          <w:sz w:val="24"/>
          <w:szCs w:val="24"/>
          <w:lang w:eastAsia="es-ES"/>
          <w14:ligatures w14:val="none"/>
        </w:rPr>
      </w:pPr>
      <w:r w:rsidRPr="00860A48">
        <w:rPr>
          <w:rFonts w:ascii="Arial" w:eastAsia="Times New Roman" w:hAnsi="Arial" w:cs="Arial"/>
          <w:color w:val="1D1D1B"/>
          <w:kern w:val="0"/>
          <w:sz w:val="24"/>
          <w:szCs w:val="24"/>
          <w:lang w:eastAsia="es-ES"/>
          <w14:ligatures w14:val="none"/>
        </w:rPr>
        <w:t>El Consejo de Ministros ha aprobado un acuerdo por el que se autorizan los límites para adquirir compromisos de gasto con cargo a ejercicios futuros, según lo dispuesto en el artículo 47 de la Ley General Presupuestaria, con el objetivo de posibilitar al Organismo Autónomo Fondo Español de Garantía Agraria (FEGA) la tramitación anticipada de una convocatoria de ayudas a inversiones materiales o inmateriales en transformación, comercialización y desarrollo de productos agrarios, en el marco del Programa Nacional de Desarrollo Rural 2014-2020, para el fomento de la integración de entidades asociativas agroalimentarias de carácter supraautonómico.</w:t>
      </w:r>
    </w:p>
    <w:p w14:paraId="567903A1" w14:textId="77777777" w:rsidR="00860A48" w:rsidRPr="00860A48" w:rsidRDefault="00860A48" w:rsidP="00860A48">
      <w:pPr>
        <w:shd w:val="clear" w:color="auto" w:fill="FFFFFF"/>
        <w:spacing w:after="0" w:line="240" w:lineRule="auto"/>
        <w:rPr>
          <w:rFonts w:ascii="Arial" w:eastAsia="Times New Roman" w:hAnsi="Arial" w:cs="Arial"/>
          <w:color w:val="1D1D1B"/>
          <w:kern w:val="0"/>
          <w:sz w:val="24"/>
          <w:szCs w:val="24"/>
          <w:lang w:eastAsia="es-ES"/>
          <w14:ligatures w14:val="none"/>
        </w:rPr>
      </w:pPr>
    </w:p>
    <w:p w14:paraId="7B8D252E" w14:textId="77777777" w:rsidR="00860A48" w:rsidRPr="00860A48" w:rsidRDefault="00860A48" w:rsidP="00860A48">
      <w:pPr>
        <w:shd w:val="clear" w:color="auto" w:fill="FFFFFF"/>
        <w:spacing w:after="0" w:line="240" w:lineRule="auto"/>
        <w:rPr>
          <w:rFonts w:ascii="Arial" w:eastAsia="Times New Roman" w:hAnsi="Arial" w:cs="Arial"/>
          <w:color w:val="1D1D1B"/>
          <w:kern w:val="0"/>
          <w:sz w:val="24"/>
          <w:szCs w:val="24"/>
          <w:lang w:eastAsia="es-ES"/>
          <w14:ligatures w14:val="none"/>
        </w:rPr>
      </w:pPr>
      <w:r w:rsidRPr="00860A48">
        <w:rPr>
          <w:rFonts w:ascii="Arial" w:eastAsia="Times New Roman" w:hAnsi="Arial" w:cs="Arial"/>
          <w:color w:val="1D1D1B"/>
          <w:kern w:val="0"/>
          <w:sz w:val="24"/>
          <w:szCs w:val="24"/>
          <w:lang w:eastAsia="es-ES"/>
          <w14:ligatures w14:val="none"/>
        </w:rPr>
        <w:t>Por Decisión de Ejecución de la Comisión, de 26 de mayo de 2015, se aprobó el Programa Nacional de Desarrollo Rural 2014-2020 de España. Dicho programa contempla diversas medidas enfocadas a la mejora de la competitividad de los productos ofrecidos por las Entidades Asociativas Prioritarias, reguladas por el Real Decreto 550/2014, de 27 de junio, de manera que se beneficien los agricultores en ellas integrados, persiguiendo un aumento del valor añadido del producto objeto de dicha integración, a lo largo de la cadena de valor. Una de estas medidas consiste en fomentar inversiones materiales o inmateriales en transformación, comercialización y desarrollo de productos agrarios.</w:t>
      </w:r>
    </w:p>
    <w:p w14:paraId="70D852EA" w14:textId="77777777" w:rsidR="00860A48" w:rsidRPr="00860A48" w:rsidRDefault="00860A48" w:rsidP="00860A48">
      <w:pPr>
        <w:shd w:val="clear" w:color="auto" w:fill="FFFFFF"/>
        <w:spacing w:after="0" w:line="240" w:lineRule="auto"/>
        <w:rPr>
          <w:rFonts w:ascii="Arial" w:eastAsia="Times New Roman" w:hAnsi="Arial" w:cs="Arial"/>
          <w:color w:val="1D1D1B"/>
          <w:kern w:val="0"/>
          <w:sz w:val="24"/>
          <w:szCs w:val="24"/>
          <w:lang w:eastAsia="es-ES"/>
          <w14:ligatures w14:val="none"/>
        </w:rPr>
      </w:pPr>
    </w:p>
    <w:p w14:paraId="35F1C8EE" w14:textId="77777777" w:rsidR="00860A48" w:rsidRPr="00860A48" w:rsidRDefault="00860A48" w:rsidP="00860A48">
      <w:pPr>
        <w:shd w:val="clear" w:color="auto" w:fill="FFFFFF"/>
        <w:spacing w:after="0" w:line="240" w:lineRule="auto"/>
        <w:rPr>
          <w:rFonts w:ascii="Arial" w:eastAsia="Times New Roman" w:hAnsi="Arial" w:cs="Arial"/>
          <w:color w:val="1D1D1B"/>
          <w:kern w:val="0"/>
          <w:sz w:val="24"/>
          <w:szCs w:val="24"/>
          <w:lang w:eastAsia="es-ES"/>
          <w14:ligatures w14:val="none"/>
        </w:rPr>
      </w:pPr>
      <w:r w:rsidRPr="00860A48">
        <w:rPr>
          <w:rFonts w:ascii="Arial" w:eastAsia="Times New Roman" w:hAnsi="Arial" w:cs="Arial"/>
          <w:color w:val="1D1D1B"/>
          <w:kern w:val="0"/>
          <w:sz w:val="24"/>
          <w:szCs w:val="24"/>
          <w:lang w:eastAsia="es-ES"/>
          <w14:ligatures w14:val="none"/>
        </w:rPr>
        <w:t>En este sentido, por Real Decreto 1010/2015, de 6 de noviembre, se establecieron las bases reguladoras de la concesión de ayudas a inversiones materiales o inmateriales en transformación, comercialización y desarrollo de productos agrarios en el marco del Programa Nacional de Desarrollo Rural 2014-2020 para el fomento de la integración de entidades asociativas agroalimentarias de carácter supraautonómico. Las ayudas se convocan anualmente mediante Resolución de la Presidencia del FEGA, organismo responsable de tramitar y aprobar la convocatoria, y competente para resolver la concesión y realizar los pagos.</w:t>
      </w:r>
    </w:p>
    <w:p w14:paraId="17B617EC" w14:textId="77777777" w:rsidR="00860A48" w:rsidRPr="00860A48" w:rsidRDefault="00860A48" w:rsidP="00860A48">
      <w:pPr>
        <w:shd w:val="clear" w:color="auto" w:fill="FFFFFF"/>
        <w:spacing w:after="0" w:line="240" w:lineRule="auto"/>
        <w:rPr>
          <w:rFonts w:ascii="Arial" w:eastAsia="Times New Roman" w:hAnsi="Arial" w:cs="Arial"/>
          <w:color w:val="1D1D1B"/>
          <w:kern w:val="0"/>
          <w:sz w:val="24"/>
          <w:szCs w:val="24"/>
          <w:lang w:eastAsia="es-ES"/>
          <w14:ligatures w14:val="none"/>
        </w:rPr>
      </w:pPr>
    </w:p>
    <w:p w14:paraId="3FC07AD2" w14:textId="77777777" w:rsidR="00860A48" w:rsidRPr="00860A48" w:rsidRDefault="00860A48" w:rsidP="00860A48">
      <w:pPr>
        <w:shd w:val="clear" w:color="auto" w:fill="FFFFFF"/>
        <w:spacing w:after="0" w:line="240" w:lineRule="auto"/>
        <w:rPr>
          <w:rFonts w:ascii="Arial" w:eastAsia="Times New Roman" w:hAnsi="Arial" w:cs="Arial"/>
          <w:color w:val="1D1D1B"/>
          <w:kern w:val="0"/>
          <w:sz w:val="24"/>
          <w:szCs w:val="24"/>
          <w:lang w:eastAsia="es-ES"/>
          <w14:ligatures w14:val="none"/>
        </w:rPr>
      </w:pPr>
      <w:r w:rsidRPr="00860A48">
        <w:rPr>
          <w:rFonts w:ascii="Arial" w:eastAsia="Times New Roman" w:hAnsi="Arial" w:cs="Arial"/>
          <w:color w:val="1D1D1B"/>
          <w:kern w:val="0"/>
          <w:sz w:val="24"/>
          <w:szCs w:val="24"/>
          <w:lang w:eastAsia="es-ES"/>
          <w14:ligatures w14:val="none"/>
        </w:rPr>
        <w:t>El periodo de ejecución de los proyectos establecido en el proyecto de la convocatoria comprende desde la fecha de presentación de la solicitud de ayuda hasta el 1 de septiembre de 2025. La complejidad de los proyectos de inversión que se presentan en estas ayudas motiva la necesidad de solicitar la tramitación anticipada con el fin de posibilitar un amplio periodo de ejecución a los beneficiarios que así lo necesiten. Se pretende abrir el plazo de solicitudes de pago desde el 2 de septiembre de 2025, de forma que, los proyectos que ya hayan finalizado puedan recibir la ayuda correspondiente.</w:t>
      </w:r>
    </w:p>
    <w:p w14:paraId="5634AC12" w14:textId="77777777" w:rsidR="00860A48" w:rsidRPr="00860A48" w:rsidRDefault="00860A48" w:rsidP="00860A48">
      <w:pPr>
        <w:shd w:val="clear" w:color="auto" w:fill="FFFFFF"/>
        <w:spacing w:after="0" w:line="240" w:lineRule="auto"/>
        <w:rPr>
          <w:rFonts w:ascii="Arial" w:eastAsia="Times New Roman" w:hAnsi="Arial" w:cs="Arial"/>
          <w:color w:val="1D1D1B"/>
          <w:kern w:val="0"/>
          <w:sz w:val="24"/>
          <w:szCs w:val="24"/>
          <w:lang w:eastAsia="es-ES"/>
          <w14:ligatures w14:val="none"/>
        </w:rPr>
      </w:pPr>
    </w:p>
    <w:p w14:paraId="3DBA09F4" w14:textId="77777777" w:rsidR="00860A48" w:rsidRPr="00860A48" w:rsidRDefault="00860A48" w:rsidP="00860A48">
      <w:pPr>
        <w:shd w:val="clear" w:color="auto" w:fill="FFFFFF"/>
        <w:spacing w:after="0" w:line="240" w:lineRule="auto"/>
        <w:rPr>
          <w:rFonts w:ascii="Arial" w:eastAsia="Times New Roman" w:hAnsi="Arial" w:cs="Arial"/>
          <w:color w:val="1D1D1B"/>
          <w:kern w:val="0"/>
          <w:sz w:val="24"/>
          <w:szCs w:val="24"/>
          <w:lang w:eastAsia="es-ES"/>
          <w14:ligatures w14:val="none"/>
        </w:rPr>
      </w:pPr>
      <w:r w:rsidRPr="00860A48">
        <w:rPr>
          <w:rFonts w:ascii="Arial" w:eastAsia="Times New Roman" w:hAnsi="Arial" w:cs="Arial"/>
          <w:color w:val="1D1D1B"/>
          <w:kern w:val="0"/>
          <w:sz w:val="24"/>
          <w:szCs w:val="24"/>
          <w:lang w:eastAsia="es-ES"/>
          <w14:ligatures w14:val="none"/>
        </w:rPr>
        <w:t>El presupuesto total para estas ayudas es de 39.939.897,11 euros, que se abonarán en 2025. La financiación de estas ayudas se realizará en un 53% con cargo Fondo Europeo Agrícola de Desarrollo Rural (FEADER) y en un 47% con cargo al presupuesto nacional. La financiación del FEADER será hasta un máximo de 21.168.145,47 euros en 2025 y la financiación nacional se realizará hasta un máximo de 18.771.751,64 euros en 2025.</w:t>
      </w:r>
    </w:p>
    <w:p w14:paraId="251CA032" w14:textId="77777777" w:rsidR="00860A48" w:rsidRPr="00860A48" w:rsidRDefault="00860A48" w:rsidP="00860A48">
      <w:pPr>
        <w:shd w:val="clear" w:color="auto" w:fill="FFFFFF"/>
        <w:spacing w:after="0" w:line="240" w:lineRule="auto"/>
        <w:rPr>
          <w:rFonts w:ascii="Arial" w:eastAsia="Times New Roman" w:hAnsi="Arial" w:cs="Arial"/>
          <w:color w:val="1D1D1B"/>
          <w:kern w:val="0"/>
          <w:sz w:val="24"/>
          <w:szCs w:val="24"/>
          <w:lang w:eastAsia="es-ES"/>
          <w14:ligatures w14:val="none"/>
        </w:rPr>
      </w:pPr>
    </w:p>
    <w:p w14:paraId="563A6DBD" w14:textId="77777777" w:rsidR="00860A48" w:rsidRPr="00860A48" w:rsidRDefault="00860A48" w:rsidP="00860A48">
      <w:pPr>
        <w:shd w:val="clear" w:color="auto" w:fill="FFFFFF"/>
        <w:spacing w:after="0" w:line="240" w:lineRule="auto"/>
        <w:rPr>
          <w:rFonts w:ascii="Arial" w:eastAsia="Times New Roman" w:hAnsi="Arial" w:cs="Arial"/>
          <w:color w:val="1D1D1B"/>
          <w:kern w:val="0"/>
          <w:sz w:val="24"/>
          <w:szCs w:val="24"/>
          <w:lang w:eastAsia="es-ES"/>
          <w14:ligatures w14:val="none"/>
        </w:rPr>
      </w:pPr>
      <w:r w:rsidRPr="00860A48">
        <w:rPr>
          <w:rFonts w:ascii="Arial" w:eastAsia="Times New Roman" w:hAnsi="Arial" w:cs="Arial"/>
          <w:color w:val="1D1D1B"/>
          <w:kern w:val="0"/>
          <w:sz w:val="24"/>
          <w:szCs w:val="24"/>
          <w:lang w:eastAsia="es-ES"/>
          <w14:ligatures w14:val="none"/>
        </w:rPr>
        <w:t xml:space="preserve">Al superarse los límites establecidos en el apartado 2 del artículo 47 de la Ley General Presupuestaria, se ha autorizado al Consejo de </w:t>
      </w:r>
      <w:proofErr w:type="gramStart"/>
      <w:r w:rsidRPr="00860A48">
        <w:rPr>
          <w:rFonts w:ascii="Arial" w:eastAsia="Times New Roman" w:hAnsi="Arial" w:cs="Arial"/>
          <w:color w:val="1D1D1B"/>
          <w:kern w:val="0"/>
          <w:sz w:val="24"/>
          <w:szCs w:val="24"/>
          <w:lang w:eastAsia="es-ES"/>
          <w14:ligatures w14:val="none"/>
        </w:rPr>
        <w:t>Ministros</w:t>
      </w:r>
      <w:proofErr w:type="gramEnd"/>
      <w:r w:rsidRPr="00860A48">
        <w:rPr>
          <w:rFonts w:ascii="Arial" w:eastAsia="Times New Roman" w:hAnsi="Arial" w:cs="Arial"/>
          <w:color w:val="1D1D1B"/>
          <w:kern w:val="0"/>
          <w:sz w:val="24"/>
          <w:szCs w:val="24"/>
          <w:lang w:eastAsia="es-ES"/>
          <w14:ligatures w14:val="none"/>
        </w:rPr>
        <w:t xml:space="preserve"> para elevar el límite de compromisos de gasto para la anualidad de 2025.</w:t>
      </w:r>
    </w:p>
    <w:p w14:paraId="38D4BB7B" w14:textId="77777777" w:rsidR="00860A48" w:rsidRDefault="00860A48"/>
    <w:p w14:paraId="42935B1A" w14:textId="77777777" w:rsidR="00CA0E59" w:rsidRDefault="00CA0E59"/>
    <w:p w14:paraId="608B4226" w14:textId="77777777" w:rsidR="00CA0E59" w:rsidRDefault="00CA0E59"/>
    <w:p w14:paraId="0E132B6B" w14:textId="77777777" w:rsidR="00CA0E59" w:rsidRDefault="00CA0E59"/>
    <w:p w14:paraId="7F866ACA" w14:textId="77777777" w:rsidR="00CA0E59" w:rsidRDefault="00CA0E59"/>
    <w:p w14:paraId="73576C4D" w14:textId="77777777" w:rsidR="00CA0E59" w:rsidRDefault="00CA0E59"/>
    <w:p w14:paraId="1BA7A183" w14:textId="77777777" w:rsidR="00CA0E59" w:rsidRPr="00CA0E59" w:rsidRDefault="00CA0E59" w:rsidP="00CA0E59">
      <w:pPr>
        <w:spacing w:before="480" w:after="240" w:line="360" w:lineRule="atLeast"/>
        <w:outlineLvl w:val="3"/>
        <w:rPr>
          <w:rFonts w:ascii="Arial" w:eastAsia="Times New Roman" w:hAnsi="Arial" w:cs="Arial"/>
          <w:color w:val="1D1D1B"/>
          <w:kern w:val="0"/>
          <w:sz w:val="30"/>
          <w:szCs w:val="30"/>
          <w:lang w:eastAsia="es-ES"/>
          <w14:ligatures w14:val="none"/>
        </w:rPr>
      </w:pPr>
      <w:r w:rsidRPr="00CA0E59">
        <w:rPr>
          <w:rFonts w:ascii="Arial" w:eastAsia="Times New Roman" w:hAnsi="Arial" w:cs="Arial"/>
          <w:color w:val="1D1D1B"/>
          <w:kern w:val="0"/>
          <w:sz w:val="30"/>
          <w:szCs w:val="30"/>
          <w:lang w:eastAsia="es-ES"/>
          <w14:ligatures w14:val="none"/>
        </w:rPr>
        <w:t>Ciencia, Innovación y Universidades</w:t>
      </w:r>
    </w:p>
    <w:bookmarkStart w:id="1" w:name="neotec"/>
    <w:p w14:paraId="08EBD597" w14:textId="77777777" w:rsidR="00CA0E59" w:rsidRPr="00CA0E59" w:rsidRDefault="00CA0E59" w:rsidP="00CA0E59">
      <w:pPr>
        <w:spacing w:after="240" w:line="360" w:lineRule="atLeast"/>
        <w:outlineLvl w:val="4"/>
        <w:rPr>
          <w:rFonts w:ascii="Arial" w:eastAsia="Times New Roman" w:hAnsi="Arial" w:cs="Arial"/>
          <w:color w:val="1D1D1B"/>
          <w:kern w:val="0"/>
          <w:sz w:val="27"/>
          <w:szCs w:val="27"/>
          <w:lang w:eastAsia="es-ES"/>
          <w14:ligatures w14:val="none"/>
        </w:rPr>
      </w:pPr>
      <w:r w:rsidRPr="00CA0E59">
        <w:rPr>
          <w:rFonts w:ascii="Arial" w:eastAsia="Times New Roman" w:hAnsi="Arial" w:cs="Arial"/>
          <w:color w:val="1D1D1B"/>
          <w:kern w:val="0"/>
          <w:sz w:val="27"/>
          <w:szCs w:val="27"/>
          <w:lang w:eastAsia="es-ES"/>
          <w14:ligatures w14:val="none"/>
        </w:rPr>
        <w:fldChar w:fldCharType="begin"/>
      </w:r>
      <w:r w:rsidRPr="00CA0E59">
        <w:rPr>
          <w:rFonts w:ascii="Arial" w:eastAsia="Times New Roman" w:hAnsi="Arial" w:cs="Arial"/>
          <w:color w:val="1D1D1B"/>
          <w:kern w:val="0"/>
          <w:sz w:val="27"/>
          <w:szCs w:val="27"/>
          <w:lang w:eastAsia="es-ES"/>
          <w14:ligatures w14:val="none"/>
        </w:rPr>
        <w:instrText>HYPERLINK "https://www.lamoncloa.gob.es/consejodeministros/referencias/Paginas/2024/refc20240402.aspx"</w:instrText>
      </w:r>
      <w:r w:rsidRPr="00CA0E59">
        <w:rPr>
          <w:rFonts w:ascii="Arial" w:eastAsia="Times New Roman" w:hAnsi="Arial" w:cs="Arial"/>
          <w:color w:val="1D1D1B"/>
          <w:kern w:val="0"/>
          <w:sz w:val="27"/>
          <w:szCs w:val="27"/>
          <w:lang w:eastAsia="es-ES"/>
          <w14:ligatures w14:val="none"/>
        </w:rPr>
      </w:r>
      <w:r w:rsidRPr="00CA0E59">
        <w:rPr>
          <w:rFonts w:ascii="Arial" w:eastAsia="Times New Roman" w:hAnsi="Arial" w:cs="Arial"/>
          <w:color w:val="1D1D1B"/>
          <w:kern w:val="0"/>
          <w:sz w:val="27"/>
          <w:szCs w:val="27"/>
          <w:lang w:eastAsia="es-ES"/>
          <w14:ligatures w14:val="none"/>
        </w:rPr>
        <w:fldChar w:fldCharType="separate"/>
      </w:r>
      <w:r w:rsidRPr="00CA0E59">
        <w:rPr>
          <w:rFonts w:ascii="inherit" w:eastAsia="Times New Roman" w:hAnsi="inherit" w:cs="Arial"/>
          <w:color w:val="0000FF"/>
          <w:kern w:val="0"/>
          <w:sz w:val="27"/>
          <w:szCs w:val="27"/>
          <w:u w:val="single"/>
          <w:lang w:eastAsia="es-ES"/>
          <w14:ligatures w14:val="none"/>
        </w:rPr>
        <w:t>PROGRAMA NEOTEC 2024. PROYECTOS EMPRESARIALES DE EMPRESAS INNOVADORAS</w:t>
      </w:r>
      <w:r w:rsidRPr="00CA0E59">
        <w:rPr>
          <w:rFonts w:ascii="Arial" w:eastAsia="Times New Roman" w:hAnsi="Arial" w:cs="Arial"/>
          <w:color w:val="1D1D1B"/>
          <w:kern w:val="0"/>
          <w:sz w:val="27"/>
          <w:szCs w:val="27"/>
          <w:lang w:eastAsia="es-ES"/>
          <w14:ligatures w14:val="none"/>
        </w:rPr>
        <w:fldChar w:fldCharType="end"/>
      </w:r>
      <w:bookmarkEnd w:id="1"/>
    </w:p>
    <w:p w14:paraId="5A6DC1C5" w14:textId="77777777" w:rsidR="00CA0E59" w:rsidRPr="00CA0E59" w:rsidRDefault="00CA0E59" w:rsidP="00CA0E59">
      <w:pPr>
        <w:spacing w:after="0" w:line="240" w:lineRule="auto"/>
        <w:rPr>
          <w:rFonts w:ascii="Arial" w:eastAsia="Times New Roman" w:hAnsi="Arial" w:cs="Arial"/>
          <w:color w:val="1D1D1B"/>
          <w:kern w:val="0"/>
          <w:sz w:val="24"/>
          <w:szCs w:val="24"/>
          <w:lang w:eastAsia="es-ES"/>
          <w14:ligatures w14:val="none"/>
        </w:rPr>
      </w:pPr>
      <w:r w:rsidRPr="00CA0E59">
        <w:rPr>
          <w:rFonts w:ascii="Arial" w:eastAsia="Times New Roman" w:hAnsi="Arial" w:cs="Arial"/>
          <w:color w:val="1D1D1B"/>
          <w:kern w:val="0"/>
          <w:sz w:val="24"/>
          <w:szCs w:val="24"/>
          <w:lang w:eastAsia="es-ES"/>
          <w14:ligatures w14:val="none"/>
        </w:rPr>
        <w:t>Acuerdo por el que se autoriza al Centro para el Desarrollo Tecnológico y la Innovación, E.P.E.(CDTI), la convocatoria correspondiente al año 2024 de ayudas por importe de 20.000.000 euros, destinadas a nuevos proyectos empresariales de empresas innovadoras (Programa NEOTEC 2024), del Subprograma Estatal de I+D+I empresarial en el marco del Plan Estatal de Investigación Científica y Técnica y de Innovación 2021-2023.</w:t>
      </w:r>
    </w:p>
    <w:p w14:paraId="3FAF7A15" w14:textId="77777777" w:rsidR="00CA0E59" w:rsidRP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49EB5776" w14:textId="77777777" w:rsidR="00CA0E59" w:rsidRPr="00CA0E59" w:rsidRDefault="00CA0E59" w:rsidP="00CA0E59">
      <w:pPr>
        <w:spacing w:after="0" w:line="240" w:lineRule="auto"/>
        <w:rPr>
          <w:rFonts w:ascii="Arial" w:eastAsia="Times New Roman" w:hAnsi="Arial" w:cs="Arial"/>
          <w:color w:val="1D1D1B"/>
          <w:kern w:val="0"/>
          <w:sz w:val="24"/>
          <w:szCs w:val="24"/>
          <w:lang w:eastAsia="es-ES"/>
          <w14:ligatures w14:val="none"/>
        </w:rPr>
      </w:pPr>
      <w:r w:rsidRPr="00CA0E59">
        <w:rPr>
          <w:rFonts w:ascii="Arial" w:eastAsia="Times New Roman" w:hAnsi="Arial" w:cs="Arial"/>
          <w:color w:val="1D1D1B"/>
          <w:kern w:val="0"/>
          <w:sz w:val="24"/>
          <w:szCs w:val="24"/>
          <w:lang w:eastAsia="es-ES"/>
          <w14:ligatures w14:val="none"/>
        </w:rPr>
        <w:t>El Consejo de Ministros ha aprobado el acuerdo por el que se autoriza al Centro para el Desarrollo Tecnológico y la Innovación (CDTI) la convocatoria correspondiente al año 2024 de ayudas por importe de 20.000.000 euros, destinadas a nuevos proyectos empresariales de empresas innovadoras (Programa NEOTEC 2024), que tiene como objetivo financiar la creación de empresas de base tecnológica con vocación de crecimiento, contribuyendo al emprendimiento y acelerando la transferencia de conocimiento desde organismos de investigación públicos y universidades. Del presupuesto total, al menos 5 millones de euros estarán destinados para proyectos empresariales liderados por mujeres.</w:t>
      </w:r>
    </w:p>
    <w:p w14:paraId="64872FEB" w14:textId="77777777" w:rsidR="00CA0E59" w:rsidRP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31463359" w14:textId="77777777" w:rsidR="00CA0E59" w:rsidRPr="00CA0E59" w:rsidRDefault="00CA0E59" w:rsidP="00CA0E59">
      <w:pPr>
        <w:spacing w:after="0" w:line="240" w:lineRule="auto"/>
        <w:rPr>
          <w:rFonts w:ascii="Arial" w:eastAsia="Times New Roman" w:hAnsi="Arial" w:cs="Arial"/>
          <w:color w:val="1D1D1B"/>
          <w:kern w:val="0"/>
          <w:sz w:val="24"/>
          <w:szCs w:val="24"/>
          <w:lang w:eastAsia="es-ES"/>
          <w14:ligatures w14:val="none"/>
        </w:rPr>
      </w:pPr>
      <w:r w:rsidRPr="00CA0E59">
        <w:rPr>
          <w:rFonts w:ascii="Arial" w:eastAsia="Times New Roman" w:hAnsi="Arial" w:cs="Arial"/>
          <w:color w:val="1D1D1B"/>
          <w:kern w:val="0"/>
          <w:sz w:val="24"/>
          <w:szCs w:val="24"/>
          <w:lang w:eastAsia="es-ES"/>
          <w14:ligatures w14:val="none"/>
        </w:rPr>
        <w:t>A través de esta convocatoria, se concederán ayudas para financiar la puesta en marcha de nuevos proyectos empresariales, que requieran el uso de tecnologías o conocimientos desarrollados a partir de la actividad investigadora y en los que la estrategia de negocio se base en el desarrollo de tecnología.</w:t>
      </w:r>
    </w:p>
    <w:p w14:paraId="6D2CA32A" w14:textId="77777777" w:rsidR="00CA0E59" w:rsidRPr="00CA0E59" w:rsidRDefault="00CA0E59" w:rsidP="00CA0E59">
      <w:pPr>
        <w:spacing w:after="0" w:line="240" w:lineRule="auto"/>
        <w:rPr>
          <w:rFonts w:ascii="Arial" w:eastAsia="Times New Roman" w:hAnsi="Arial" w:cs="Arial"/>
          <w:color w:val="1D1D1B"/>
          <w:kern w:val="0"/>
          <w:sz w:val="24"/>
          <w:szCs w:val="24"/>
          <w:lang w:eastAsia="es-ES"/>
          <w14:ligatures w14:val="none"/>
        </w:rPr>
      </w:pPr>
      <w:r w:rsidRPr="00CA0E59">
        <w:rPr>
          <w:rFonts w:ascii="Arial" w:eastAsia="Times New Roman" w:hAnsi="Arial" w:cs="Arial"/>
          <w:color w:val="1D1D1B"/>
          <w:kern w:val="0"/>
          <w:sz w:val="24"/>
          <w:szCs w:val="24"/>
          <w:lang w:eastAsia="es-ES"/>
          <w14:ligatures w14:val="none"/>
        </w:rPr>
        <w:t>Asimismo, en las propuestas se primará la incorporación de personas con grado de doctor a la empresa para reforzar sus capacidades de absorción y generación de conocimiento.</w:t>
      </w:r>
    </w:p>
    <w:p w14:paraId="647C672F" w14:textId="77777777" w:rsidR="00CA0E59" w:rsidRP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138F69B1" w14:textId="77777777" w:rsidR="00CA0E59" w:rsidRPr="00CA0E59" w:rsidRDefault="00CA0E59" w:rsidP="00CA0E59">
      <w:pPr>
        <w:spacing w:after="0" w:line="240" w:lineRule="auto"/>
        <w:rPr>
          <w:rFonts w:ascii="Arial" w:eastAsia="Times New Roman" w:hAnsi="Arial" w:cs="Arial"/>
          <w:color w:val="1D1D1B"/>
          <w:kern w:val="0"/>
          <w:sz w:val="24"/>
          <w:szCs w:val="24"/>
          <w:lang w:eastAsia="es-ES"/>
          <w14:ligatures w14:val="none"/>
        </w:rPr>
      </w:pPr>
      <w:r w:rsidRPr="00CA0E59">
        <w:rPr>
          <w:rFonts w:ascii="Arial" w:eastAsia="Times New Roman" w:hAnsi="Arial" w:cs="Arial"/>
          <w:color w:val="1D1D1B"/>
          <w:kern w:val="0"/>
          <w:sz w:val="24"/>
          <w:szCs w:val="24"/>
          <w:lang w:eastAsia="es-ES"/>
          <w14:ligatures w14:val="none"/>
        </w:rPr>
        <w:t>El CDTI, en su condición de agente de financiación del Sistema Español de Ciencia, Tecnología e Innovación conforme a la Ley 14/2011, de 1 de junio, de la Ciencia, la Tecnología y la Innovación, es el organismo competente para gestionar los programas o instrumentos que le sean asignados por el Plan Estatal I+D+i.</w:t>
      </w:r>
    </w:p>
    <w:p w14:paraId="4657F867" w14:textId="77777777" w:rsidR="00CA0E59" w:rsidRDefault="00CA0E59" w:rsidP="00CA0E59">
      <w:pPr>
        <w:spacing w:before="480" w:after="240" w:line="360" w:lineRule="atLeast"/>
        <w:outlineLvl w:val="3"/>
        <w:rPr>
          <w:rFonts w:ascii="Arial" w:eastAsia="Times New Roman" w:hAnsi="Arial" w:cs="Arial"/>
          <w:color w:val="1D1D1B"/>
          <w:kern w:val="0"/>
          <w:sz w:val="30"/>
          <w:szCs w:val="30"/>
          <w:lang w:eastAsia="es-ES"/>
          <w14:ligatures w14:val="none"/>
        </w:rPr>
      </w:pPr>
    </w:p>
    <w:p w14:paraId="5EEC5529" w14:textId="77777777" w:rsidR="00CA0E59" w:rsidRDefault="00CA0E59" w:rsidP="00CA0E59">
      <w:pPr>
        <w:spacing w:before="480" w:after="240" w:line="360" w:lineRule="atLeast"/>
        <w:outlineLvl w:val="3"/>
        <w:rPr>
          <w:rFonts w:ascii="Arial" w:eastAsia="Times New Roman" w:hAnsi="Arial" w:cs="Arial"/>
          <w:color w:val="1D1D1B"/>
          <w:kern w:val="0"/>
          <w:sz w:val="30"/>
          <w:szCs w:val="30"/>
          <w:lang w:eastAsia="es-ES"/>
          <w14:ligatures w14:val="none"/>
        </w:rPr>
      </w:pPr>
    </w:p>
    <w:p w14:paraId="7FD66930" w14:textId="37E17257" w:rsidR="00CA0E59" w:rsidRPr="00CA0E59" w:rsidRDefault="00CA0E59" w:rsidP="00CA0E59">
      <w:pPr>
        <w:spacing w:before="480" w:after="240" w:line="360" w:lineRule="atLeast"/>
        <w:outlineLvl w:val="3"/>
        <w:rPr>
          <w:rFonts w:ascii="Arial" w:eastAsia="Times New Roman" w:hAnsi="Arial" w:cs="Arial"/>
          <w:color w:val="1D1D1B"/>
          <w:kern w:val="0"/>
          <w:sz w:val="30"/>
          <w:szCs w:val="30"/>
          <w:lang w:eastAsia="es-ES"/>
          <w14:ligatures w14:val="none"/>
        </w:rPr>
      </w:pPr>
      <w:r w:rsidRPr="00CA0E59">
        <w:rPr>
          <w:rFonts w:ascii="Arial" w:eastAsia="Times New Roman" w:hAnsi="Arial" w:cs="Arial"/>
          <w:color w:val="1D1D1B"/>
          <w:kern w:val="0"/>
          <w:sz w:val="30"/>
          <w:szCs w:val="30"/>
          <w:lang w:eastAsia="es-ES"/>
          <w14:ligatures w14:val="none"/>
        </w:rPr>
        <w:t>Ciencia, Innovación y Universidades</w:t>
      </w:r>
    </w:p>
    <w:bookmarkStart w:id="2" w:name="ochoa"/>
    <w:p w14:paraId="5F8E57FD" w14:textId="77777777" w:rsidR="00CA0E59" w:rsidRPr="00CA0E59" w:rsidRDefault="00CA0E59" w:rsidP="00CA0E59">
      <w:pPr>
        <w:spacing w:after="240" w:line="360" w:lineRule="atLeast"/>
        <w:outlineLvl w:val="4"/>
        <w:rPr>
          <w:rFonts w:ascii="Arial" w:eastAsia="Times New Roman" w:hAnsi="Arial" w:cs="Arial"/>
          <w:color w:val="1D1D1B"/>
          <w:kern w:val="0"/>
          <w:sz w:val="27"/>
          <w:szCs w:val="27"/>
          <w:lang w:eastAsia="es-ES"/>
          <w14:ligatures w14:val="none"/>
        </w:rPr>
      </w:pPr>
      <w:r w:rsidRPr="00CA0E59">
        <w:rPr>
          <w:rFonts w:ascii="Arial" w:eastAsia="Times New Roman" w:hAnsi="Arial" w:cs="Arial"/>
          <w:color w:val="1D1D1B"/>
          <w:kern w:val="0"/>
          <w:sz w:val="27"/>
          <w:szCs w:val="27"/>
          <w:lang w:eastAsia="es-ES"/>
          <w14:ligatures w14:val="none"/>
        </w:rPr>
        <w:fldChar w:fldCharType="begin"/>
      </w:r>
      <w:r w:rsidRPr="00CA0E59">
        <w:rPr>
          <w:rFonts w:ascii="Arial" w:eastAsia="Times New Roman" w:hAnsi="Arial" w:cs="Arial"/>
          <w:color w:val="1D1D1B"/>
          <w:kern w:val="0"/>
          <w:sz w:val="27"/>
          <w:szCs w:val="27"/>
          <w:lang w:eastAsia="es-ES"/>
          <w14:ligatures w14:val="none"/>
        </w:rPr>
        <w:instrText>HYPERLINK "https://www.lamoncloa.gob.es/consejodeministros/referencias/Paginas/2024/refc20240402.aspx"</w:instrText>
      </w:r>
      <w:r w:rsidRPr="00CA0E59">
        <w:rPr>
          <w:rFonts w:ascii="Arial" w:eastAsia="Times New Roman" w:hAnsi="Arial" w:cs="Arial"/>
          <w:color w:val="1D1D1B"/>
          <w:kern w:val="0"/>
          <w:sz w:val="27"/>
          <w:szCs w:val="27"/>
          <w:lang w:eastAsia="es-ES"/>
          <w14:ligatures w14:val="none"/>
        </w:rPr>
      </w:r>
      <w:r w:rsidRPr="00CA0E59">
        <w:rPr>
          <w:rFonts w:ascii="Arial" w:eastAsia="Times New Roman" w:hAnsi="Arial" w:cs="Arial"/>
          <w:color w:val="1D1D1B"/>
          <w:kern w:val="0"/>
          <w:sz w:val="27"/>
          <w:szCs w:val="27"/>
          <w:lang w:eastAsia="es-ES"/>
          <w14:ligatures w14:val="none"/>
        </w:rPr>
        <w:fldChar w:fldCharType="separate"/>
      </w:r>
      <w:r w:rsidRPr="00CA0E59">
        <w:rPr>
          <w:rFonts w:ascii="inherit" w:eastAsia="Times New Roman" w:hAnsi="inherit" w:cs="Arial"/>
          <w:color w:val="0000FF"/>
          <w:kern w:val="0"/>
          <w:sz w:val="27"/>
          <w:szCs w:val="27"/>
          <w:u w:val="single"/>
          <w:lang w:eastAsia="es-ES"/>
          <w14:ligatures w14:val="none"/>
        </w:rPr>
        <w:t>CENTROS DE EXCELENCIA SEVERO OCHOA Y UNIDADES DE EXCELENCIA MARÍA DE MAEZTU</w:t>
      </w:r>
      <w:r w:rsidRPr="00CA0E59">
        <w:rPr>
          <w:rFonts w:ascii="Arial" w:eastAsia="Times New Roman" w:hAnsi="Arial" w:cs="Arial"/>
          <w:color w:val="1D1D1B"/>
          <w:kern w:val="0"/>
          <w:sz w:val="27"/>
          <w:szCs w:val="27"/>
          <w:lang w:eastAsia="es-ES"/>
          <w14:ligatures w14:val="none"/>
        </w:rPr>
        <w:fldChar w:fldCharType="end"/>
      </w:r>
      <w:bookmarkEnd w:id="2"/>
    </w:p>
    <w:p w14:paraId="72D260FF" w14:textId="77777777" w:rsidR="00CA0E59" w:rsidRPr="00CA0E59" w:rsidRDefault="00CA0E59" w:rsidP="00CA0E59">
      <w:pPr>
        <w:spacing w:after="0" w:line="240" w:lineRule="auto"/>
        <w:rPr>
          <w:rFonts w:ascii="Arial" w:eastAsia="Times New Roman" w:hAnsi="Arial" w:cs="Arial"/>
          <w:color w:val="1D1D1B"/>
          <w:kern w:val="0"/>
          <w:sz w:val="24"/>
          <w:szCs w:val="24"/>
          <w:lang w:eastAsia="es-ES"/>
          <w14:ligatures w14:val="none"/>
        </w:rPr>
      </w:pPr>
      <w:r w:rsidRPr="00CA0E59">
        <w:rPr>
          <w:rFonts w:ascii="Arial" w:eastAsia="Times New Roman" w:hAnsi="Arial" w:cs="Arial"/>
          <w:color w:val="1D1D1B"/>
          <w:kern w:val="0"/>
          <w:sz w:val="24"/>
          <w:szCs w:val="24"/>
          <w:lang w:eastAsia="es-ES"/>
          <w14:ligatures w14:val="none"/>
        </w:rPr>
        <w:t>El Consejo de Ministros ha aprobado el acuerdo por el que se autoriza a la Agencia Estatal de Investigación la convocatoria del año 2024, de tramitación anticipada, para la concesión de las acreditaciones y ayudas públicas a «Centros de Excelencia Severo Ochoa» y a «Unidades de Excelencia María de Maeztu» asociadas a dichas acreditaciones, del Programa Estatal para Impulsar la Investigación Científico-Técnica y su Transferencia, en el marco del Plan Estatal de Investigación Científica y Técnica y de Innovación 2021-2023.</w:t>
      </w:r>
    </w:p>
    <w:p w14:paraId="0BDFF98C" w14:textId="77777777" w:rsidR="00CA0E59" w:rsidRP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32ED201F" w14:textId="77777777" w:rsid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745F0DC6" w14:textId="77777777" w:rsid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0966885E" w14:textId="77777777" w:rsid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784B680E" w14:textId="77777777" w:rsid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62583BDF" w14:textId="77777777" w:rsid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3CA3D8EE" w14:textId="77777777" w:rsid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6C4FD1EA" w14:textId="77777777" w:rsid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04B8B2FD" w14:textId="77777777" w:rsid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5F4006DE" w14:textId="77777777" w:rsid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5C407AFC" w14:textId="77777777" w:rsid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10198825" w14:textId="77777777" w:rsid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2A751A58" w14:textId="30BAFA1A" w:rsidR="00CA0E59" w:rsidRPr="00CA0E59" w:rsidRDefault="00CA0E59" w:rsidP="00CA0E59">
      <w:pPr>
        <w:spacing w:after="0" w:line="240" w:lineRule="auto"/>
        <w:rPr>
          <w:rFonts w:ascii="Arial" w:eastAsia="Times New Roman" w:hAnsi="Arial" w:cs="Arial"/>
          <w:color w:val="1D1D1B"/>
          <w:kern w:val="0"/>
          <w:sz w:val="24"/>
          <w:szCs w:val="24"/>
          <w:lang w:eastAsia="es-ES"/>
          <w14:ligatures w14:val="none"/>
        </w:rPr>
      </w:pPr>
      <w:r w:rsidRPr="00CA0E59">
        <w:rPr>
          <w:rFonts w:ascii="Arial" w:eastAsia="Times New Roman" w:hAnsi="Arial" w:cs="Arial"/>
          <w:color w:val="1D1D1B"/>
          <w:kern w:val="0"/>
          <w:sz w:val="24"/>
          <w:szCs w:val="24"/>
          <w:lang w:eastAsia="es-ES"/>
          <w14:ligatures w14:val="none"/>
        </w:rPr>
        <w:t xml:space="preserve">Esta convocatoria tiene como objetivo impulsar la calidad, la relevancia y el impacto internacional de la investigación realizada en España y potenciar el fortalecimiento institucional de los centros y unidades de excelencia existentes en nuestro país, así como su efecto tractor sobre el conjunto del Sistema Español de Ciencia, Tecnología e Innovación. Ello se materializa mediante el reconocimiento a dichos centros y unidades, a través de un proceso competitivo basado en estándares internacionales, que recibirán adicionalmente financiación para las actuaciones incluidas en sus </w:t>
      </w:r>
      <w:proofErr w:type="gramStart"/>
      <w:r w:rsidRPr="00CA0E59">
        <w:rPr>
          <w:rFonts w:ascii="Arial" w:eastAsia="Times New Roman" w:hAnsi="Arial" w:cs="Arial"/>
          <w:color w:val="1D1D1B"/>
          <w:kern w:val="0"/>
          <w:sz w:val="24"/>
          <w:szCs w:val="24"/>
          <w:lang w:eastAsia="es-ES"/>
          <w14:ligatures w14:val="none"/>
        </w:rPr>
        <w:t>planes estratégicos o programas estratégicos</w:t>
      </w:r>
      <w:proofErr w:type="gramEnd"/>
      <w:r w:rsidRPr="00CA0E59">
        <w:rPr>
          <w:rFonts w:ascii="Arial" w:eastAsia="Times New Roman" w:hAnsi="Arial" w:cs="Arial"/>
          <w:color w:val="1D1D1B"/>
          <w:kern w:val="0"/>
          <w:sz w:val="24"/>
          <w:szCs w:val="24"/>
          <w:lang w:eastAsia="es-ES"/>
          <w14:ligatures w14:val="none"/>
        </w:rPr>
        <w:t xml:space="preserve"> de investigación de frontera. Estas actuaciones tienen por finalidad el fortalecimiento institucional y la potenciación de la proyección internacional de los centros y unidades de investigación, pertenecientes o participadas por entidades públicas o privadas sin ánimo de lucro, existentes en España y que destaquen por la relevancia e impacto de sus resultados a nivel mundial.</w:t>
      </w:r>
    </w:p>
    <w:p w14:paraId="69807B6E" w14:textId="77777777" w:rsidR="00CA0E59" w:rsidRP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010C2686" w14:textId="77777777" w:rsidR="00CA0E59" w:rsidRPr="00CA0E59" w:rsidRDefault="00CA0E59" w:rsidP="00CA0E59">
      <w:pPr>
        <w:spacing w:after="0" w:line="240" w:lineRule="auto"/>
        <w:rPr>
          <w:rFonts w:ascii="Arial" w:eastAsia="Times New Roman" w:hAnsi="Arial" w:cs="Arial"/>
          <w:color w:val="1D1D1B"/>
          <w:kern w:val="0"/>
          <w:sz w:val="24"/>
          <w:szCs w:val="24"/>
          <w:lang w:eastAsia="es-ES"/>
          <w14:ligatures w14:val="none"/>
        </w:rPr>
      </w:pPr>
      <w:r w:rsidRPr="00CA0E59">
        <w:rPr>
          <w:rFonts w:ascii="Arial" w:eastAsia="Times New Roman" w:hAnsi="Arial" w:cs="Arial"/>
          <w:color w:val="1D1D1B"/>
          <w:kern w:val="0"/>
          <w:sz w:val="24"/>
          <w:szCs w:val="24"/>
          <w:lang w:eastAsia="es-ES"/>
          <w14:ligatures w14:val="none"/>
        </w:rPr>
        <w:t>Para la consecución de esta finalidad, la convocatoria promueve:</w:t>
      </w:r>
    </w:p>
    <w:p w14:paraId="4A2E83F3" w14:textId="77777777" w:rsidR="00CA0E59" w:rsidRP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7588CDA1" w14:textId="77777777" w:rsidR="00CA0E59" w:rsidRPr="00CA0E59" w:rsidRDefault="00CA0E59" w:rsidP="00CA0E59">
      <w:pPr>
        <w:spacing w:after="0" w:line="240" w:lineRule="auto"/>
        <w:rPr>
          <w:rFonts w:ascii="Arial" w:eastAsia="Times New Roman" w:hAnsi="Arial" w:cs="Arial"/>
          <w:color w:val="1D1D1B"/>
          <w:kern w:val="0"/>
          <w:sz w:val="24"/>
          <w:szCs w:val="24"/>
          <w:lang w:eastAsia="es-ES"/>
          <w14:ligatures w14:val="none"/>
        </w:rPr>
      </w:pPr>
      <w:r w:rsidRPr="00CA0E59">
        <w:rPr>
          <w:rFonts w:ascii="Arial" w:eastAsia="Times New Roman" w:hAnsi="Arial" w:cs="Arial"/>
          <w:color w:val="1D1D1B"/>
          <w:kern w:val="0"/>
          <w:sz w:val="24"/>
          <w:szCs w:val="24"/>
          <w:lang w:eastAsia="es-ES"/>
          <w14:ligatures w14:val="none"/>
        </w:rPr>
        <w:t>-La acreditación de centros de investigación como «Centro de Excelencia Severo Ochoa» y la financiación de sus planes estratégicos.</w:t>
      </w:r>
    </w:p>
    <w:p w14:paraId="1C458251" w14:textId="77777777" w:rsidR="00CA0E59" w:rsidRP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31A51566" w14:textId="77777777" w:rsidR="00CA0E59" w:rsidRPr="00CA0E59" w:rsidRDefault="00CA0E59" w:rsidP="00CA0E59">
      <w:pPr>
        <w:spacing w:after="100" w:line="240" w:lineRule="auto"/>
        <w:rPr>
          <w:rFonts w:ascii="Arial" w:eastAsia="Times New Roman" w:hAnsi="Arial" w:cs="Arial"/>
          <w:color w:val="1D1D1B"/>
          <w:kern w:val="0"/>
          <w:sz w:val="24"/>
          <w:szCs w:val="24"/>
          <w:lang w:eastAsia="es-ES"/>
          <w14:ligatures w14:val="none"/>
        </w:rPr>
      </w:pPr>
      <w:r w:rsidRPr="00CA0E59">
        <w:rPr>
          <w:rFonts w:ascii="Arial" w:eastAsia="Times New Roman" w:hAnsi="Arial" w:cs="Arial"/>
          <w:color w:val="1D1D1B"/>
          <w:kern w:val="0"/>
          <w:sz w:val="24"/>
          <w:szCs w:val="24"/>
          <w:lang w:eastAsia="es-ES"/>
          <w14:ligatures w14:val="none"/>
        </w:rPr>
        <w:t>-La acreditación de unidades de investigación como «Unidad de Excelencia María de Maeztu» y la financiación de sus programas estratégicos de investigación.</w:t>
      </w:r>
    </w:p>
    <w:p w14:paraId="2532B7D5" w14:textId="77777777" w:rsidR="00CA0E59" w:rsidRPr="00CA0E59" w:rsidRDefault="00CA0E59" w:rsidP="00CA0E59">
      <w:pPr>
        <w:spacing w:after="0" w:line="240" w:lineRule="auto"/>
        <w:rPr>
          <w:rFonts w:ascii="Arial" w:eastAsia="Times New Roman" w:hAnsi="Arial" w:cs="Arial"/>
          <w:color w:val="1D1D1B"/>
          <w:kern w:val="0"/>
          <w:sz w:val="24"/>
          <w:szCs w:val="24"/>
          <w:lang w:eastAsia="es-ES"/>
          <w14:ligatures w14:val="none"/>
        </w:rPr>
      </w:pPr>
    </w:p>
    <w:p w14:paraId="25C32EB0" w14:textId="77777777" w:rsidR="00CA0E59" w:rsidRPr="00CA0E59" w:rsidRDefault="00CA0E59" w:rsidP="00CA0E59">
      <w:pPr>
        <w:spacing w:after="0" w:line="240" w:lineRule="auto"/>
        <w:rPr>
          <w:rFonts w:ascii="Arial" w:eastAsia="Times New Roman" w:hAnsi="Arial" w:cs="Arial"/>
          <w:color w:val="1D1D1B"/>
          <w:kern w:val="0"/>
          <w:sz w:val="24"/>
          <w:szCs w:val="24"/>
          <w:lang w:eastAsia="es-ES"/>
          <w14:ligatures w14:val="none"/>
        </w:rPr>
      </w:pPr>
      <w:r w:rsidRPr="00CA0E59">
        <w:rPr>
          <w:rFonts w:ascii="Arial" w:eastAsia="Times New Roman" w:hAnsi="Arial" w:cs="Arial"/>
          <w:color w:val="1D1D1B"/>
          <w:kern w:val="0"/>
          <w:sz w:val="24"/>
          <w:szCs w:val="24"/>
          <w:lang w:eastAsia="es-ES"/>
          <w14:ligatures w14:val="none"/>
        </w:rPr>
        <w:t>Asimismo, se financiarán actuaciones encaminadas a la formación de personal investigador predoctoral asociadas a líneas prioritarias de investigación que se desarrollen en los planes y programas estratégicos.</w:t>
      </w:r>
    </w:p>
    <w:p w14:paraId="04877BB5" w14:textId="77777777" w:rsidR="004638C5" w:rsidRDefault="004638C5"/>
    <w:sectPr w:rsidR="004638C5" w:rsidSect="00860A48">
      <w:type w:val="continuous"/>
      <w:pgSz w:w="10800" w:h="19200"/>
      <w:pgMar w:top="0" w:right="280" w:bottom="320" w:left="100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7B"/>
    <w:rsid w:val="00336C37"/>
    <w:rsid w:val="004638C5"/>
    <w:rsid w:val="00815D7B"/>
    <w:rsid w:val="00860A48"/>
    <w:rsid w:val="00A823A3"/>
    <w:rsid w:val="00AE3436"/>
    <w:rsid w:val="00BD52E4"/>
    <w:rsid w:val="00C95770"/>
    <w:rsid w:val="00CA0E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A18B"/>
  <w15:chartTrackingRefBased/>
  <w15:docId w15:val="{395DB2C5-1F97-4397-AA74-CA7B13D7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5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15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5D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15D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15D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5D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5D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5D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5D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5D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15D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5D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5D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15D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5D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5D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5D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5D7B"/>
    <w:rPr>
      <w:rFonts w:eastAsiaTheme="majorEastAsia" w:cstheme="majorBidi"/>
      <w:color w:val="272727" w:themeColor="text1" w:themeTint="D8"/>
    </w:rPr>
  </w:style>
  <w:style w:type="paragraph" w:styleId="Ttulo">
    <w:name w:val="Title"/>
    <w:basedOn w:val="Normal"/>
    <w:next w:val="Normal"/>
    <w:link w:val="TtuloCar"/>
    <w:uiPriority w:val="10"/>
    <w:qFormat/>
    <w:rsid w:val="00815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5D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5D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5D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5D7B"/>
    <w:pPr>
      <w:spacing w:before="160"/>
      <w:jc w:val="center"/>
    </w:pPr>
    <w:rPr>
      <w:i/>
      <w:iCs/>
      <w:color w:val="404040" w:themeColor="text1" w:themeTint="BF"/>
    </w:rPr>
  </w:style>
  <w:style w:type="character" w:customStyle="1" w:styleId="CitaCar">
    <w:name w:val="Cita Car"/>
    <w:basedOn w:val="Fuentedeprrafopredeter"/>
    <w:link w:val="Cita"/>
    <w:uiPriority w:val="29"/>
    <w:rsid w:val="00815D7B"/>
    <w:rPr>
      <w:i/>
      <w:iCs/>
      <w:color w:val="404040" w:themeColor="text1" w:themeTint="BF"/>
    </w:rPr>
  </w:style>
  <w:style w:type="paragraph" w:styleId="Prrafodelista">
    <w:name w:val="List Paragraph"/>
    <w:basedOn w:val="Normal"/>
    <w:uiPriority w:val="34"/>
    <w:qFormat/>
    <w:rsid w:val="00815D7B"/>
    <w:pPr>
      <w:ind w:left="720"/>
      <w:contextualSpacing/>
    </w:pPr>
  </w:style>
  <w:style w:type="character" w:styleId="nfasisintenso">
    <w:name w:val="Intense Emphasis"/>
    <w:basedOn w:val="Fuentedeprrafopredeter"/>
    <w:uiPriority w:val="21"/>
    <w:qFormat/>
    <w:rsid w:val="00815D7B"/>
    <w:rPr>
      <w:i/>
      <w:iCs/>
      <w:color w:val="0F4761" w:themeColor="accent1" w:themeShade="BF"/>
    </w:rPr>
  </w:style>
  <w:style w:type="paragraph" w:styleId="Citadestacada">
    <w:name w:val="Intense Quote"/>
    <w:basedOn w:val="Normal"/>
    <w:next w:val="Normal"/>
    <w:link w:val="CitadestacadaCar"/>
    <w:uiPriority w:val="30"/>
    <w:qFormat/>
    <w:rsid w:val="00815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5D7B"/>
    <w:rPr>
      <w:i/>
      <w:iCs/>
      <w:color w:val="0F4761" w:themeColor="accent1" w:themeShade="BF"/>
    </w:rPr>
  </w:style>
  <w:style w:type="character" w:styleId="Referenciaintensa">
    <w:name w:val="Intense Reference"/>
    <w:basedOn w:val="Fuentedeprrafopredeter"/>
    <w:uiPriority w:val="32"/>
    <w:qFormat/>
    <w:rsid w:val="00815D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066467">
      <w:bodyDiv w:val="1"/>
      <w:marLeft w:val="0"/>
      <w:marRight w:val="0"/>
      <w:marTop w:val="0"/>
      <w:marBottom w:val="0"/>
      <w:divBdr>
        <w:top w:val="none" w:sz="0" w:space="0" w:color="auto"/>
        <w:left w:val="none" w:sz="0" w:space="0" w:color="auto"/>
        <w:bottom w:val="none" w:sz="0" w:space="0" w:color="auto"/>
        <w:right w:val="none" w:sz="0" w:space="0" w:color="auto"/>
      </w:divBdr>
      <w:divsChild>
        <w:div w:id="1154762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1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9B888DC0F6DB45BFFFBC0318DB225D" ma:contentTypeVersion="20" ma:contentTypeDescription="Crear nuevo documento." ma:contentTypeScope="" ma:versionID="6d8f6e98c54c586b731f8f8b80f6c077">
  <xsd:schema xmlns:xsd="http://www.w3.org/2001/XMLSchema" xmlns:xs="http://www.w3.org/2001/XMLSchema" xmlns:p="http://schemas.microsoft.com/office/2006/metadata/properties" xmlns:ns2="709c8ae7-423e-4b11-9dcb-812736e7ee57" xmlns:ns3="e11a6aa2-1be5-40c9-b67e-d45538342239" targetNamespace="http://schemas.microsoft.com/office/2006/metadata/properties" ma:root="true" ma:fieldsID="5742204265b824c78319c4824605ea97" ns2:_="" ns3:_="">
    <xsd:import namespace="709c8ae7-423e-4b11-9dcb-812736e7ee57"/>
    <xsd:import namespace="e11a6aa2-1be5-40c9-b67e-d455383422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c8ae7-423e-4b11-9dcb-812736e7e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30adb8ab-93db-4bb7-b78e-da79bb1a76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1a6aa2-1be5-40c9-b67e-d45538342239"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586283e-630d-4759-8503-a2fe67811a08}" ma:internalName="TaxCatchAll" ma:showField="CatchAllData" ma:web="e11a6aa2-1be5-40c9-b67e-d45538342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9c8ae7-423e-4b11-9dcb-812736e7ee57">
      <Terms xmlns="http://schemas.microsoft.com/office/infopath/2007/PartnerControls"/>
    </lcf76f155ced4ddcb4097134ff3c332f>
    <_Flow_SignoffStatus xmlns="709c8ae7-423e-4b11-9dcb-812736e7ee57" xsi:nil="true"/>
    <TaxCatchAll xmlns="e11a6aa2-1be5-40c9-b67e-d45538342239" xsi:nil="true"/>
  </documentManagement>
</p:properties>
</file>

<file path=customXml/itemProps1.xml><?xml version="1.0" encoding="utf-8"?>
<ds:datastoreItem xmlns:ds="http://schemas.openxmlformats.org/officeDocument/2006/customXml" ds:itemID="{7A87D4EC-6AD4-4ADA-B32D-C96DA5E06B53}"/>
</file>

<file path=customXml/itemProps2.xml><?xml version="1.0" encoding="utf-8"?>
<ds:datastoreItem xmlns:ds="http://schemas.openxmlformats.org/officeDocument/2006/customXml" ds:itemID="{A03105DE-31D1-4ED0-81B5-D7B3E54496A0}"/>
</file>

<file path=customXml/itemProps3.xml><?xml version="1.0" encoding="utf-8"?>
<ds:datastoreItem xmlns:ds="http://schemas.openxmlformats.org/officeDocument/2006/customXml" ds:itemID="{816074FA-3BCC-452E-81AD-486DAAEE2121}"/>
</file>

<file path=docProps/app.xml><?xml version="1.0" encoding="utf-8"?>
<Properties xmlns="http://schemas.openxmlformats.org/officeDocument/2006/extended-properties" xmlns:vt="http://schemas.openxmlformats.org/officeDocument/2006/docPropsVTypes">
  <Template>Normal</Template>
  <TotalTime>3</TotalTime>
  <Pages>3</Pages>
  <Words>1213</Words>
  <Characters>6672</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Calatrava</dc:creator>
  <cp:keywords/>
  <dc:description/>
  <cp:lastModifiedBy>Anabel Calatrava</cp:lastModifiedBy>
  <cp:revision>4</cp:revision>
  <dcterms:created xsi:type="dcterms:W3CDTF">2024-04-03T07:53:00Z</dcterms:created>
  <dcterms:modified xsi:type="dcterms:W3CDTF">2024-04-03T07:56:00Z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0x010100E29B888DC0F6DB45BFFFBC0318DB225D</vt:lpwstr>
  </property>
</Properties>
</file>